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7A93" w14:textId="77777777" w:rsidR="003C0268" w:rsidRPr="00801035" w:rsidRDefault="003C0268" w:rsidP="003C0268">
      <w:pPr>
        <w:spacing w:before="100" w:beforeAutospacing="1" w:after="100" w:afterAutospacing="1"/>
        <w:jc w:val="center"/>
        <w:rPr>
          <w:rFonts w:ascii="Arial" w:hAnsi="Arial" w:cs="Arial"/>
          <w:color w:val="4F81BD" w:themeColor="accent1"/>
          <w:szCs w:val="20"/>
          <w:lang w:eastAsia="en-US"/>
        </w:rPr>
      </w:pPr>
      <w:r w:rsidRPr="00801035">
        <w:rPr>
          <w:rFonts w:ascii="Arial" w:hAnsi="Arial" w:cs="Arial"/>
          <w:color w:val="4F81BD" w:themeColor="accent1"/>
          <w:szCs w:val="20"/>
          <w:lang w:eastAsia="en-US"/>
        </w:rPr>
        <w:t> </w:t>
      </w:r>
    </w:p>
    <w:p w14:paraId="6317309E" w14:textId="40C234A2" w:rsidR="003C0268" w:rsidRPr="00801035" w:rsidRDefault="003C0268" w:rsidP="003C0268">
      <w:pPr>
        <w:spacing w:before="100" w:beforeAutospacing="1" w:after="100" w:afterAutospacing="1"/>
        <w:jc w:val="center"/>
        <w:rPr>
          <w:rFonts w:ascii="Arial" w:hAnsi="Arial" w:cs="Arial"/>
          <w:color w:val="4F81BD" w:themeColor="accent1"/>
          <w:szCs w:val="20"/>
          <w:lang w:eastAsia="en-US"/>
        </w:rPr>
      </w:pPr>
      <w:r w:rsidRPr="00801035">
        <w:rPr>
          <w:rFonts w:ascii="Arial" w:hAnsi="Arial" w:cs="Arial"/>
          <w:color w:val="4F81BD" w:themeColor="accent1"/>
          <w:szCs w:val="20"/>
          <w:u w:val="single"/>
          <w:lang w:eastAsia="en-US"/>
        </w:rPr>
        <w:t xml:space="preserve">Alternative Research Articles (revised </w:t>
      </w:r>
      <w:proofErr w:type="gramStart"/>
      <w:r w:rsidR="00801035" w:rsidRPr="00801035">
        <w:rPr>
          <w:rFonts w:ascii="Arial" w:hAnsi="Arial" w:cs="Arial"/>
          <w:color w:val="4F81BD" w:themeColor="accent1"/>
          <w:szCs w:val="20"/>
          <w:u w:val="single"/>
          <w:lang w:eastAsia="en-US"/>
        </w:rPr>
        <w:t>Spring</w:t>
      </w:r>
      <w:proofErr w:type="gramEnd"/>
      <w:r w:rsidR="00801035" w:rsidRPr="00801035">
        <w:rPr>
          <w:rFonts w:ascii="Arial" w:hAnsi="Arial" w:cs="Arial"/>
          <w:color w:val="4F81BD" w:themeColor="accent1"/>
          <w:szCs w:val="20"/>
          <w:u w:val="single"/>
          <w:lang w:eastAsia="en-US"/>
        </w:rPr>
        <w:t xml:space="preserve"> 2018</w:t>
      </w:r>
      <w:r w:rsidRPr="00801035">
        <w:rPr>
          <w:rFonts w:ascii="Arial" w:hAnsi="Arial" w:cs="Arial"/>
          <w:color w:val="4F81BD" w:themeColor="accent1"/>
          <w:szCs w:val="20"/>
          <w:u w:val="single"/>
          <w:lang w:eastAsia="en-US"/>
        </w:rPr>
        <w:t>)</w:t>
      </w:r>
    </w:p>
    <w:p w14:paraId="5BAA51F8" w14:textId="7569F4CE" w:rsidR="00F755DE" w:rsidRPr="00801035" w:rsidRDefault="003C0268" w:rsidP="003C0268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The following is a list of articles you must choose from in order to earn research credit through writing article summaries. You can find the following articles on-line by accessing UK ’s home page from anywhere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on campus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. Click the “Libraries” tab at the top of the page. From the “Libraries” page, click “E-Journals” tab from the search menu. Now simply enter the name of the journal that contains the article you need and select the appropriate volume. The volume number of a publication can be found immediately after the journal’s name in this list. Instructions for </w:t>
      </w:r>
      <w:bookmarkStart w:id="0" w:name="_GoBack"/>
      <w:r w:rsidRPr="00801035">
        <w:rPr>
          <w:rFonts w:ascii="Arial" w:hAnsi="Arial" w:cs="Arial"/>
          <w:sz w:val="20"/>
          <w:szCs w:val="20"/>
          <w:lang w:eastAsia="en-US"/>
        </w:rPr>
        <w:t xml:space="preserve">writing the article </w:t>
      </w:r>
      <w:bookmarkEnd w:id="0"/>
      <w:r w:rsidRPr="00801035">
        <w:rPr>
          <w:rFonts w:ascii="Arial" w:hAnsi="Arial" w:cs="Arial"/>
          <w:sz w:val="20"/>
          <w:szCs w:val="20"/>
          <w:lang w:eastAsia="en-US"/>
        </w:rPr>
        <w:t xml:space="preserve">summary can be found on the Department of Psychology SONA information website here: </w:t>
      </w:r>
    </w:p>
    <w:p w14:paraId="49C51D7C" w14:textId="77777777" w:rsidR="00801035" w:rsidRPr="00801035" w:rsidRDefault="00801035" w:rsidP="003C0268">
      <w:pPr>
        <w:spacing w:before="100" w:beforeAutospacing="1" w:after="100" w:afterAutospacing="1"/>
        <w:contextualSpacing/>
        <w:rPr>
          <w:rFonts w:ascii="Arial" w:hAnsi="Arial" w:cs="Arial"/>
        </w:rPr>
      </w:pPr>
      <w:hyperlink r:id="rId4" w:history="1">
        <w:r w:rsidRPr="00801035">
          <w:rPr>
            <w:rStyle w:val="Hyperlink"/>
            <w:rFonts w:ascii="Arial" w:hAnsi="Arial" w:cs="Arial"/>
            <w:color w:val="1155CC"/>
            <w:sz w:val="22"/>
            <w:szCs w:val="22"/>
          </w:rPr>
          <w:t>https://psychology.as.uky.edu/alternative-assignments</w:t>
        </w:r>
      </w:hyperlink>
    </w:p>
    <w:p w14:paraId="34AA762E" w14:textId="77777777" w:rsidR="00801035" w:rsidRPr="00801035" w:rsidRDefault="00801035" w:rsidP="003C026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BB107BA" w14:textId="2A08F4F7" w:rsidR="003C0268" w:rsidRPr="00801035" w:rsidRDefault="003C0268" w:rsidP="003C0268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Please contact the subject pool TA at </w:t>
      </w:r>
      <w:hyperlink r:id="rId5" w:history="1">
        <w:r w:rsidRPr="00801035">
          <w:rPr>
            <w:rStyle w:val="Hyperlink"/>
            <w:rFonts w:ascii="Arial" w:hAnsi="Arial" w:cs="Arial"/>
            <w:sz w:val="20"/>
            <w:szCs w:val="20"/>
            <w:lang w:eastAsia="en-US"/>
          </w:rPr>
          <w:t>UKsubjectPool@gmail.com</w:t>
        </w:r>
      </w:hyperlink>
      <w:r w:rsidRPr="00801035">
        <w:rPr>
          <w:rFonts w:ascii="Arial" w:hAnsi="Arial" w:cs="Arial"/>
          <w:sz w:val="20"/>
          <w:szCs w:val="20"/>
          <w:lang w:eastAsia="en-US"/>
        </w:rPr>
        <w:t xml:space="preserve"> or your course TA if you have any problems. </w:t>
      </w:r>
    </w:p>
    <w:p w14:paraId="21821462" w14:textId="77777777" w:rsidR="003C0268" w:rsidRPr="00801035" w:rsidRDefault="003C0268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> </w:t>
      </w:r>
    </w:p>
    <w:p w14:paraId="1654B4B8" w14:textId="77777777" w:rsidR="004E69D5" w:rsidRPr="00801035" w:rsidRDefault="004E69D5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Adams, Z. W.,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Milich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Lynam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D. R.,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Charnigo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 J. (2013). Interactive effects of drinking history and impulsivity on college drinking.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Addictive Behaviors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38</w:t>
      </w:r>
      <w:r w:rsidRPr="00801035">
        <w:rPr>
          <w:rFonts w:ascii="Arial" w:hAnsi="Arial" w:cs="Arial"/>
          <w:sz w:val="20"/>
          <w:szCs w:val="20"/>
          <w:lang w:eastAsia="en-US"/>
        </w:rPr>
        <w:t>(12), 2860-2867. doi:10.1016/j.addbeh.2013.08.009</w:t>
      </w:r>
    </w:p>
    <w:p w14:paraId="03056D0F" w14:textId="5BD86E2D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>Ashburn-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Nardo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L.,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Monteith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J., Arthur, S. A., &amp; Bain, A. (2007). Race and the psychological health of African Americans.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Group Processes &amp; Intergroup Relations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10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(4), 471-491.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10.1177/1368430207081536</w:t>
      </w:r>
    </w:p>
    <w:p w14:paraId="7CD9368D" w14:textId="33EC94B1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Bailey, U. L.,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Lorch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E. P.,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Milich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Charnigo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 (2009). Developmental changes in attention and comprehension among children with attention deficit hyperactivity disorder.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Child Development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80</w:t>
      </w:r>
      <w:r w:rsidRPr="00801035">
        <w:rPr>
          <w:rFonts w:ascii="Arial" w:hAnsi="Arial" w:cs="Arial"/>
          <w:sz w:val="20"/>
          <w:szCs w:val="20"/>
          <w:lang w:eastAsia="en-US"/>
        </w:rPr>
        <w:t>(6), 1842-1855. doi:10.1111/j.1467-8624.2009.01371.x</w:t>
      </w:r>
    </w:p>
    <w:p w14:paraId="6FCF86B7" w14:textId="2DC52CB9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Bolin, B., &amp; Akins, C. K. (2012). Chronic pre-exposure to methamphetamine following 31 days of withdrawal impairs sexual performance but not sexual conditioning in male Japanese quail. </w:t>
      </w:r>
      <w:proofErr w:type="spell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Behavioural</w:t>
      </w:r>
      <w:proofErr w:type="spell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Processes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91</w:t>
      </w:r>
      <w:r w:rsidRPr="00801035">
        <w:rPr>
          <w:rFonts w:ascii="Arial" w:hAnsi="Arial" w:cs="Arial"/>
          <w:sz w:val="20"/>
          <w:szCs w:val="20"/>
          <w:lang w:eastAsia="en-US"/>
        </w:rPr>
        <w:t>(2), 177-183. doi:10.1016/j.beproc.2012.07.004</w:t>
      </w:r>
    </w:p>
    <w:p w14:paraId="4D0F2C86" w14:textId="61834325" w:rsidR="00996FDA" w:rsidRPr="00801035" w:rsidRDefault="00996FDA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Brown, R. W.,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Bardo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T., Mace, D. D., Phillips, S. B., &amp; Kraemer, P. J. (2000). D-amphetamine facilitation of Morris water task performance is blocked by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eticlopride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 and correlated with increased dopamine synthesis in the prefrontal cortex. </w:t>
      </w:r>
      <w:proofErr w:type="spell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Behavioural</w:t>
      </w:r>
      <w:proofErr w:type="spell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Brain Research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114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(1-2), 135-143.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10.1016/S0166-4328(00)00225-4</w:t>
      </w:r>
    </w:p>
    <w:p w14:paraId="0FC76738" w14:textId="77AFC929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Brown, T. L., Flory, K.,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Lynam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D. R.,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Leukefeld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C., &amp; Clayton, R. R. (2004). Comparing the developmental trajectories of marijuana use of African American and Caucasian adolescents: patterns, antecedents, and consequences.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Experimental and Clinical Psychopharmacology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12</w:t>
      </w:r>
      <w:r w:rsidRPr="00801035">
        <w:rPr>
          <w:rFonts w:ascii="Arial" w:hAnsi="Arial" w:cs="Arial"/>
          <w:sz w:val="20"/>
          <w:szCs w:val="20"/>
          <w:lang w:eastAsia="en-US"/>
        </w:rPr>
        <w:t>(1), 47-56. doi:10.1037/1064-1297.12.1.47</w:t>
      </w:r>
    </w:p>
    <w:p w14:paraId="2F0ED9D9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Burris, J. L., Sauer, S. E., &amp; Carlson, C. R. (2011). A test of religious commitment and spiritual transcendence as independent predictors of underage alcohol use and alcohol-related problems.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Psychology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Religion And Spirituality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3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(3), 231-240.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10.1037/a0022204</w:t>
      </w:r>
    </w:p>
    <w:p w14:paraId="4C3B7CEF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Butler, T. R., Smith, K. J., Berry, J. N., Sharrett-Field, L. J., &amp; Prendergast, M. A. (2009). Sex differences in caffeine neurotoxicity following chronic ethanol exposure and withdrawal.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Alcohol and Alcoholism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44</w:t>
      </w:r>
      <w:r w:rsidRPr="00801035">
        <w:rPr>
          <w:rFonts w:ascii="Arial" w:hAnsi="Arial" w:cs="Arial"/>
          <w:sz w:val="20"/>
          <w:szCs w:val="20"/>
          <w:lang w:eastAsia="en-US"/>
        </w:rPr>
        <w:t>(6), 567 -574. doi:10.1093/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alcalc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>/agp050</w:t>
      </w:r>
    </w:p>
    <w:p w14:paraId="2134CC52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lastRenderedPageBreak/>
        <w:t xml:space="preserve">Carswell, C. M.,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Lio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C. H., Grant, R., Klein, M. I., Clarke, D.,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Seales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W. B.,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Strup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S. (2010). Hands-free administration of subjective workload scales: Acceptability in a surgical training environment.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Applied Ergonomics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42</w:t>
      </w:r>
      <w:r w:rsidRPr="00801035">
        <w:rPr>
          <w:rFonts w:ascii="Arial" w:hAnsi="Arial" w:cs="Arial"/>
          <w:sz w:val="20"/>
          <w:szCs w:val="20"/>
          <w:lang w:eastAsia="en-US"/>
        </w:rPr>
        <w:t>(1), 138-145. doi:16/j.apergo.2010.06.003</w:t>
      </w:r>
    </w:p>
    <w:p w14:paraId="6B6704C0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Combs, D. J. Y., Powell, C. A. J.,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Schurtz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David Ryan, &amp; Smith, R. H. (2009). Politics, schadenfreude, and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ingroup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 identification: The sometimes happy thing about a poor economy and death.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Journal of Experimental Social Psychology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45</w:t>
      </w:r>
      <w:r w:rsidRPr="00801035">
        <w:rPr>
          <w:rFonts w:ascii="Arial" w:hAnsi="Arial" w:cs="Arial"/>
          <w:sz w:val="20"/>
          <w:szCs w:val="20"/>
          <w:lang w:eastAsia="en-US"/>
        </w:rPr>
        <w:t>(4), 635-646. doi:16/j.jesp.2009.02.009</w:t>
      </w:r>
    </w:p>
    <w:p w14:paraId="1FBA6182" w14:textId="07AF02BF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Cyders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A.,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Zapolski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T. C. B., Combs, J. L., Settles, R. F., Fillmore, M. T., &amp; Smith, G. T. (2010). Experimental effect of positive urgency on negative outcomes from risk taking and on increased alcohol consumption.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Psychology of Addictive Behaviors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24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(3), 367-375.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10.1037/a0019494</w:t>
      </w:r>
    </w:p>
    <w:p w14:paraId="65AF2F64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DeWall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C. N., MacDonald, G., Webster, G. D.,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Masten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C. L.,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Baumeister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 F., Powell, C., Combs, D., et al. (2010). Acetaminophen reduces social pain.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Psychological Science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21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(7), 931 -937.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10.1177/0956797610374741</w:t>
      </w:r>
    </w:p>
    <w:p w14:paraId="2E6FCCC9" w14:textId="0D5EF4B6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Evans, D. R.,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Eisenlohr</w:t>
      </w:r>
      <w:r w:rsidRPr="00801035">
        <w:rPr>
          <w:rFonts w:ascii="Cambria Math" w:hAnsi="Cambria Math" w:cs="Cambria Math"/>
          <w:sz w:val="20"/>
          <w:szCs w:val="20"/>
          <w:lang w:eastAsia="en-US"/>
        </w:rPr>
        <w:t>‐</w:t>
      </w:r>
      <w:r w:rsidRPr="00801035">
        <w:rPr>
          <w:rFonts w:ascii="Arial" w:hAnsi="Arial" w:cs="Arial"/>
          <w:sz w:val="20"/>
          <w:szCs w:val="20"/>
          <w:lang w:eastAsia="en-US"/>
        </w:rPr>
        <w:t>Moul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T. A., Button, D. F., Baer, R. A.,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Segerstrom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>, S. C. (2014). Self</w:t>
      </w:r>
      <w:r w:rsidRPr="00801035">
        <w:rPr>
          <w:rFonts w:ascii="Cambria Math" w:hAnsi="Cambria Math" w:cs="Cambria Math"/>
          <w:sz w:val="20"/>
          <w:szCs w:val="20"/>
          <w:lang w:eastAsia="en-US"/>
        </w:rPr>
        <w:t>‐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regulatory deficits associated with unpracticed mindfulness strategies for coping with acute pain.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Applied Social Psychology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44</w:t>
      </w:r>
      <w:r w:rsidRPr="00801035">
        <w:rPr>
          <w:rFonts w:ascii="Arial" w:hAnsi="Arial" w:cs="Arial"/>
          <w:sz w:val="20"/>
          <w:szCs w:val="20"/>
          <w:lang w:eastAsia="en-US"/>
        </w:rPr>
        <w:t>(1), 23-30. doi:10.1111/jasp.12196</w:t>
      </w:r>
    </w:p>
    <w:p w14:paraId="417A167B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Fillmore, M. T., Blackburn, J. S., &amp; Harrison, E. L. R. (2008). Acute disinhibiting effects of alcohol as a factor in risky driving behavior.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Drug and Alcohol Dependence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95</w:t>
      </w:r>
      <w:r w:rsidRPr="00801035">
        <w:rPr>
          <w:rFonts w:ascii="Arial" w:hAnsi="Arial" w:cs="Arial"/>
          <w:sz w:val="20"/>
          <w:szCs w:val="20"/>
          <w:lang w:eastAsia="en-US"/>
        </w:rPr>
        <w:t>(1-2), 97-106. doi:16/j.drugalcdep.2007.12.018</w:t>
      </w:r>
    </w:p>
    <w:p w14:paraId="2A38F22B" w14:textId="1E17B7EA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Friedrich, A. M., &amp; Zentall, T. R. (2004). Pigeons shift their preference toward locations of food that take more effort to obtain. </w:t>
      </w:r>
      <w:proofErr w:type="spell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Behavioural</w:t>
      </w:r>
      <w:proofErr w:type="spell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Processes, 67</w:t>
      </w:r>
      <w:r w:rsidRPr="00801035">
        <w:rPr>
          <w:rFonts w:ascii="Arial" w:hAnsi="Arial" w:cs="Arial"/>
          <w:sz w:val="20"/>
          <w:szCs w:val="20"/>
          <w:lang w:eastAsia="en-US"/>
        </w:rPr>
        <w:t>, 405-415.</w:t>
      </w:r>
    </w:p>
    <w:p w14:paraId="10738967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Gervais, W. M. (2014). Good for God? Religious motivation reduces perceived responsibility for and morality of good deeds.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Experimental Psychology: General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143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(4), 1616-1626.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10.1037/a0036678</w:t>
      </w:r>
    </w:p>
    <w:p w14:paraId="5553A0AE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Gomes, G. M., Mello, C. F., da Rosa, M. M.,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Bochi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G. V., Ferreira, J., Barron, S., &amp; Rubin, M. A. (2010).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Polyaminergic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 agents modulate contextual fear extinction in rats.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Neurobiology of Learning and Memory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93</w:t>
      </w:r>
      <w:r w:rsidRPr="00801035">
        <w:rPr>
          <w:rFonts w:ascii="Arial" w:hAnsi="Arial" w:cs="Arial"/>
          <w:sz w:val="20"/>
          <w:szCs w:val="20"/>
          <w:lang w:eastAsia="en-US"/>
        </w:rPr>
        <w:t>(4), 589-595. doi:10.1016/j.nlm.2010.02.007</w:t>
      </w:r>
    </w:p>
    <w:p w14:paraId="60770CE1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Jewell, J. A., &amp; Brown, C. (2013). Sexting, catcalls, and butt slaps: How gender stereotypes and perceived group norms predict sexualized behavior.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Sex Roles</w:t>
      </w:r>
      <w:r w:rsidRPr="00801035">
        <w:rPr>
          <w:rFonts w:ascii="Arial" w:hAnsi="Arial" w:cs="Arial"/>
          <w:sz w:val="20"/>
          <w:szCs w:val="20"/>
          <w:lang w:eastAsia="en-US"/>
        </w:rPr>
        <w:t>, doi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:10.1007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/s11199-013-0320-1</w:t>
      </w:r>
    </w:p>
    <w:p w14:paraId="7515E349" w14:textId="2A816B08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Kangas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A.,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Zieber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N., Hayden, A., &amp; Bhatt, R. S. (2013). Parts function as perceptual organizational entities in infancy. </w:t>
      </w:r>
      <w:proofErr w:type="spell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Psychonomic</w:t>
      </w:r>
      <w:proofErr w:type="spell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Bulletin &amp; Review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20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(4), 726-731.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10.3758/s13423-013-0385-4</w:t>
      </w:r>
    </w:p>
    <w:p w14:paraId="7CD5F81E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Keller, P. S., Mark Cummings, E., Peterson, K. M., &amp; Davies, P. T. (2009). Marital conflict in the context of parental depressive symptoms: implications for the development of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childrenʼs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 adjustment problems.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Social Development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18</w:t>
      </w:r>
      <w:r w:rsidRPr="00801035">
        <w:rPr>
          <w:rFonts w:ascii="Arial" w:hAnsi="Arial" w:cs="Arial"/>
          <w:sz w:val="20"/>
          <w:szCs w:val="20"/>
          <w:lang w:eastAsia="en-US"/>
        </w:rPr>
        <w:t>(3), 536-555. doi:10.1111/j.1467-9507.2008.00509.x</w:t>
      </w:r>
    </w:p>
    <w:p w14:paraId="2C44A4E7" w14:textId="6EC0FA16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Levinson, C. A.,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Giancola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P. R., &amp; Parrott, D. J. (2011). Beliefs about aggression moderate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alcoholʼs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 effects on aggression.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Experimental and Clinical Psychopharmacology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19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(1), 64-74.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10.1037/a0022113</w:t>
      </w:r>
    </w:p>
    <w:p w14:paraId="5CB371A9" w14:textId="1C07EF53" w:rsidR="009C6AF3" w:rsidRPr="00801035" w:rsidRDefault="009C6AF3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lastRenderedPageBreak/>
        <w:t>Lykins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E. B., Baer, R. A.,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Gottlob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L. R. (2012). Performance-based tests of attention and memory in long-term mindfulness meditators and demographically matched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nonmeditators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Cognitive Therapy And Research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36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(1), 103-114.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10.1007/s10608-010-9318-y</w:t>
      </w:r>
    </w:p>
    <w:p w14:paraId="0138E7D6" w14:textId="6E6241F3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Martel, M. M.,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Gremillion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L., &amp; Tackett, J. L. (2014). Personality traits elucidate sex differences in attention-deficit/hyperactivity disorder comorbidity during early childhood.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Psychopathology And Behavioral Assessment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36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(2), 237-245.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10.1007/s10862-013-9382-1</w:t>
      </w:r>
    </w:p>
    <w:p w14:paraId="295B7330" w14:textId="77777777" w:rsidR="003E585B" w:rsidRPr="00801035" w:rsidRDefault="003E585B" w:rsidP="003E585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Marusich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J. A., Beckmann, J. S., Gipson, C. D.,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Bardo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T. (2010). Methylphenidate as a reinforcer for rats: Contingent delivery and intake escalation.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Experimental and Clinical Psychopharmacology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18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(3), 257-266.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10.1037/a0019814</w:t>
      </w:r>
    </w:p>
    <w:p w14:paraId="62E03B1A" w14:textId="21BF5A31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Mason, L. H.,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Shandera-Ochsner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A. L., Williamson, K. D., Harp, J. P., Edmundson, M., Berry, D. R., &amp; High, W. r. (2013). Accuracy of MMPI–2–RF validity scales for identifying feigned PTSD symptoms, random responding, and genuine PTSD.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Personality Assessment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95</w:t>
      </w:r>
      <w:r w:rsidRPr="00801035">
        <w:rPr>
          <w:rFonts w:ascii="Arial" w:hAnsi="Arial" w:cs="Arial"/>
          <w:sz w:val="20"/>
          <w:szCs w:val="20"/>
          <w:lang w:eastAsia="en-US"/>
        </w:rPr>
        <w:t>(6), 585-593. doi:10.1080/00223891.2013.819512</w:t>
      </w:r>
    </w:p>
    <w:p w14:paraId="5DBD98B2" w14:textId="77777777" w:rsidR="003E585B" w:rsidRPr="00801035" w:rsidRDefault="003E585B" w:rsidP="003E585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McCaw, B., Golding, J. M., Farley, M.,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Minkoff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J. R. (2007). Domestic violence and abuse, health status, and social functioning.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Women &amp; Health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45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(2), 1-23.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10.1300/J013v45n02_01</w:t>
      </w:r>
    </w:p>
    <w:p w14:paraId="11257E7C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Pattison, K. F., &amp; Zentall, T. R. (2014). Suboptimal choice by dogs: When less is better than more.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Animal Cognition</w:t>
      </w:r>
      <w:r w:rsidRPr="00801035">
        <w:rPr>
          <w:rFonts w:ascii="Arial" w:hAnsi="Arial" w:cs="Arial"/>
          <w:sz w:val="20"/>
          <w:szCs w:val="20"/>
          <w:lang w:eastAsia="en-US"/>
        </w:rPr>
        <w:t>, doi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:10.1007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/s10071-014-0735-2</w:t>
      </w:r>
    </w:p>
    <w:p w14:paraId="2A0B5E18" w14:textId="44F3BFD3" w:rsidR="00F56906" w:rsidRPr="00801035" w:rsidRDefault="00F5690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Peters, J. R., Upton, B. T., &amp; Baer, R. A. (2013). Relationships between facets of impulsivity and borderline personality features.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Personality Disorders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27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(4), 547-552.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10.1521/pedi_2012_26_044</w:t>
      </w:r>
    </w:p>
    <w:p w14:paraId="75361878" w14:textId="77777777" w:rsidR="003E585B" w:rsidRPr="00801035" w:rsidRDefault="003E585B" w:rsidP="003E585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Smith, R. H., Eyre, H. L., Powell, C. A. J., &amp; Kim, S. H. (2006). Relativistic origins of emotional reactions to events happening to others and to ourselves.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British Journal of Social Psychology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45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(2), 357-371.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10.1348/014466605X40987</w:t>
      </w:r>
    </w:p>
    <w:p w14:paraId="619682DE" w14:textId="5BE0A9BF" w:rsidR="003E585B" w:rsidRPr="00801035" w:rsidRDefault="003E585B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Stagner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J. P., &amp; Zentall, T. R. (2010). Suboptimal choice behavior by pigeons. </w:t>
      </w:r>
      <w:proofErr w:type="spell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Psychonomic</w:t>
      </w:r>
      <w:proofErr w:type="spell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Bulletin &amp; Review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17</w:t>
      </w:r>
      <w:r w:rsidRPr="00801035">
        <w:rPr>
          <w:rFonts w:ascii="Arial" w:hAnsi="Arial" w:cs="Arial"/>
          <w:sz w:val="20"/>
          <w:szCs w:val="20"/>
          <w:lang w:eastAsia="en-US"/>
        </w:rPr>
        <w:t>(3), 412-416. doi:10.3758/PBR.17.3.412.</w:t>
      </w:r>
    </w:p>
    <w:p w14:paraId="4F04496B" w14:textId="77777777" w:rsidR="00F56906" w:rsidRPr="00801035" w:rsidRDefault="00F56906" w:rsidP="00F569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Stairs, D. J., Prendergast, M. A., &amp;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Bardo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M. T. (2011). Environmental-induced differences in corticosterone and glucocorticoid receptor blockade of amphetamine self-administration in rats.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Psychopharmacology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218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(1), 293-301.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 xml:space="preserve">10.1007/s00213-011-2448-4 </w:t>
      </w:r>
    </w:p>
    <w:p w14:paraId="771D44D5" w14:textId="463947D4" w:rsidR="007D5166" w:rsidRPr="00801035" w:rsidRDefault="007D5166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 w:rsidRPr="00801035">
        <w:rPr>
          <w:rFonts w:ascii="Arial" w:hAnsi="Arial" w:cs="Arial"/>
          <w:sz w:val="20"/>
          <w:szCs w:val="20"/>
          <w:lang w:eastAsia="en-US"/>
        </w:rPr>
        <w:t xml:space="preserve">Wade, J. B., Dougherty, L. M., Archer, C., &amp; Price, D. D. (1996). Assessing the stages of pain processing: A multivariate analytical approach.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Pain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68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(1), 157-167. </w:t>
      </w:r>
      <w:proofErr w:type="gramStart"/>
      <w:r w:rsidRPr="00801035">
        <w:rPr>
          <w:rFonts w:ascii="Arial" w:hAnsi="Arial" w:cs="Arial"/>
          <w:sz w:val="20"/>
          <w:szCs w:val="20"/>
          <w:lang w:eastAsia="en-US"/>
        </w:rPr>
        <w:t>doi:</w:t>
      </w:r>
      <w:proofErr w:type="gramEnd"/>
      <w:r w:rsidRPr="00801035">
        <w:rPr>
          <w:rFonts w:ascii="Arial" w:hAnsi="Arial" w:cs="Arial"/>
          <w:sz w:val="20"/>
          <w:szCs w:val="20"/>
          <w:lang w:eastAsia="en-US"/>
        </w:rPr>
        <w:t>10.1016/S0304-3959(96)03162-4</w:t>
      </w:r>
    </w:p>
    <w:p w14:paraId="37BA4E42" w14:textId="549B9843" w:rsidR="003E585B" w:rsidRPr="00801035" w:rsidRDefault="003E585B" w:rsidP="00DF747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Weafer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J.,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Milich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R., &amp; Fillmore, M. T. (2011). Behavioral components of impulsivity predict alcohol consumption in adults with ADHD and healthy controls.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Drug and Alcohol Dependence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113</w:t>
      </w:r>
      <w:r w:rsidRPr="00801035">
        <w:rPr>
          <w:rFonts w:ascii="Arial" w:hAnsi="Arial" w:cs="Arial"/>
          <w:sz w:val="20"/>
          <w:szCs w:val="20"/>
          <w:lang w:eastAsia="en-US"/>
        </w:rPr>
        <w:t>(2-3), 139-146. doi:10.1016/j.drugalcdep.2010.07.027</w:t>
      </w:r>
    </w:p>
    <w:p w14:paraId="128706B7" w14:textId="4748DB01" w:rsidR="003E585B" w:rsidRPr="00801035" w:rsidRDefault="003E585B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Widiger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T. A., &amp; Costa, P. T. (2012). Integrating normal and abnormal personality structure: The Five-Factor Model.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Journal </w:t>
      </w:r>
      <w:proofErr w:type="gramStart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Of</w:t>
      </w:r>
      <w:proofErr w:type="gramEnd"/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 xml:space="preserve"> Personality</w:t>
      </w:r>
      <w:r w:rsidRPr="0080103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80</w:t>
      </w:r>
      <w:r w:rsidRPr="00801035">
        <w:rPr>
          <w:rFonts w:ascii="Arial" w:hAnsi="Arial" w:cs="Arial"/>
          <w:sz w:val="20"/>
          <w:szCs w:val="20"/>
          <w:lang w:eastAsia="en-US"/>
        </w:rPr>
        <w:t>(6), 1471-1506. doi:10.1111/j.1467-6494.2012.00776.x</w:t>
      </w:r>
    </w:p>
    <w:p w14:paraId="0EF31885" w14:textId="77777777" w:rsidR="003C0268" w:rsidRPr="00801035" w:rsidRDefault="003C0268" w:rsidP="003C026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lastRenderedPageBreak/>
        <w:t>Zieber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N., Bhatt, Ramesh S., Hayden, A.,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Kangas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A., Collins, </w:t>
      </w:r>
      <w:proofErr w:type="spellStart"/>
      <w:r w:rsidRPr="00801035">
        <w:rPr>
          <w:rFonts w:ascii="Arial" w:hAnsi="Arial" w:cs="Arial"/>
          <w:sz w:val="20"/>
          <w:szCs w:val="20"/>
          <w:lang w:eastAsia="en-US"/>
        </w:rPr>
        <w:t>Bada</w:t>
      </w:r>
      <w:proofErr w:type="spellEnd"/>
      <w:r w:rsidRPr="00801035">
        <w:rPr>
          <w:rFonts w:ascii="Arial" w:hAnsi="Arial" w:cs="Arial"/>
          <w:sz w:val="20"/>
          <w:szCs w:val="20"/>
          <w:lang w:eastAsia="en-US"/>
        </w:rPr>
        <w:t xml:space="preserve">, H. (2010). Body representation in the first year of life. </w:t>
      </w:r>
      <w:r w:rsidRPr="00801035">
        <w:rPr>
          <w:rFonts w:ascii="Arial" w:hAnsi="Arial" w:cs="Arial"/>
          <w:i/>
          <w:iCs/>
          <w:sz w:val="20"/>
          <w:szCs w:val="20"/>
          <w:lang w:eastAsia="en-US"/>
        </w:rPr>
        <w:t>Infancy, 15</w:t>
      </w:r>
      <w:r w:rsidRPr="00801035">
        <w:rPr>
          <w:rFonts w:ascii="Arial" w:hAnsi="Arial" w:cs="Arial"/>
          <w:sz w:val="20"/>
          <w:szCs w:val="20"/>
          <w:lang w:eastAsia="en-US"/>
        </w:rPr>
        <w:t>(5), 534-544. doi:10.1111/j.1532-7078.2009.00026.x</w:t>
      </w:r>
    </w:p>
    <w:p w14:paraId="5E9635F3" w14:textId="77777777" w:rsidR="00F56906" w:rsidRDefault="00F56906" w:rsidP="003C026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43A08DBC" w14:textId="77777777" w:rsidR="00F56906" w:rsidRDefault="00F56906" w:rsidP="003C026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016A32B4" w14:textId="77777777" w:rsidR="00F56906" w:rsidRPr="003C0268" w:rsidRDefault="00F56906" w:rsidP="003C026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sectPr w:rsidR="00F56906" w:rsidRPr="003C0268" w:rsidSect="004E69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8"/>
    <w:rsid w:val="00057351"/>
    <w:rsid w:val="001B35A5"/>
    <w:rsid w:val="001C26E9"/>
    <w:rsid w:val="001D617F"/>
    <w:rsid w:val="003C0268"/>
    <w:rsid w:val="003E585B"/>
    <w:rsid w:val="00416342"/>
    <w:rsid w:val="00451217"/>
    <w:rsid w:val="004E69D5"/>
    <w:rsid w:val="007B47D1"/>
    <w:rsid w:val="007D5166"/>
    <w:rsid w:val="00801035"/>
    <w:rsid w:val="008829EC"/>
    <w:rsid w:val="00996FDA"/>
    <w:rsid w:val="009C6AF3"/>
    <w:rsid w:val="00C51E86"/>
    <w:rsid w:val="00D01619"/>
    <w:rsid w:val="00D04F9F"/>
    <w:rsid w:val="00DF747D"/>
    <w:rsid w:val="00F31DDA"/>
    <w:rsid w:val="00F56906"/>
    <w:rsid w:val="00F75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84AEF"/>
  <w15:docId w15:val="{0DE65F04-BCAF-4BEE-9A79-1FC27F4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C0268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ubjectPool@gmail.com" TargetMode="External"/><Relationship Id="rId4" Type="http://schemas.openxmlformats.org/officeDocument/2006/relationships/hyperlink" Target="https://psychology.as.uky.edu/alternative-assign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Pattison</dc:creator>
  <cp:keywords/>
  <dc:description/>
  <cp:lastModifiedBy>Meagan Coomes</cp:lastModifiedBy>
  <cp:revision>2</cp:revision>
  <cp:lastPrinted>2014-08-04T13:13:00Z</cp:lastPrinted>
  <dcterms:created xsi:type="dcterms:W3CDTF">2018-04-21T00:01:00Z</dcterms:created>
  <dcterms:modified xsi:type="dcterms:W3CDTF">2018-04-21T00:01:00Z</dcterms:modified>
</cp:coreProperties>
</file>